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keepNext w:val="true"/>
        <w:spacing w:lineRule="auto" w:line="240" w:before="0" w:after="0"/>
        <w:jc w:val="center"/>
        <w:rPr>
          <w:rFonts w:ascii="Times New Roman" w:hAnsi="Times New Roman" w:cs="Times New Roman"/>
          <w:spacing w:val="-2"/>
          <w:w w:val="123"/>
          <w:sz w:val="28"/>
          <w:szCs w:val="28"/>
        </w:rPr>
      </w:pPr>
      <w:r>
        <w:rPr>
          <w:rFonts w:cs="Times New Roman" w:ascii="Times New Roman" w:hAnsi="Times New Roman"/>
          <w:spacing w:val="-2"/>
          <w:w w:val="123"/>
          <w:sz w:val="28"/>
          <w:szCs w:val="28"/>
        </w:rPr>
      </w:r>
    </w:p>
    <w:p>
      <w:pPr>
        <w:pStyle w:val="Style16"/>
        <w:keepNext w:val="tru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2"/>
          <w:w w:val="123"/>
          <w:sz w:val="28"/>
          <w:szCs w:val="28"/>
        </w:rPr>
        <w:t>СОВЕТ МУНИЦИПАЛЬНОГО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Style16"/>
        <w:keepNext w:val="tru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«СЕЛЬСКОЕ ПОСЕЛЕНИЕ БАТАЕВСКИЙ СЕЛЬСОВЕТ АХТУБИНСКОГО МУНИЦИПАЛЬНОГО РАЙОНА АСТРАХАНСКОЙ ОБЛАСТИ»</w:t>
      </w:r>
    </w:p>
    <w:p>
      <w:pPr>
        <w:pStyle w:val="Style16"/>
        <w:keepNext w:val="tru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6"/>
        <w:keepNext w:val="true"/>
        <w:spacing w:lineRule="auto" w:lin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РЕШЕНИЕ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01.04.</w:t>
      </w:r>
      <w:r>
        <w:rPr>
          <w:rFonts w:cs="Times New Roman" w:ascii="Times New Roman" w:hAnsi="Times New Roman"/>
          <w:sz w:val="28"/>
          <w:szCs w:val="28"/>
        </w:rPr>
        <w:t xml:space="preserve">2026  г.                                                                                             № </w:t>
      </w:r>
      <w:r>
        <w:rPr>
          <w:rFonts w:cs="Times New Roman" w:ascii="Times New Roman" w:hAnsi="Times New Roman"/>
          <w:sz w:val="28"/>
          <w:szCs w:val="28"/>
          <w:lang w:val="ru-RU"/>
        </w:rPr>
        <w:t>39</w:t>
      </w:r>
    </w:p>
    <w:tbl>
      <w:tblPr>
        <w:tblStyle w:val="7"/>
        <w:tblW w:w="9589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</w:tblPr>
      <w:tblGrid>
        <w:gridCol w:w="9589"/>
      </w:tblGrid>
      <w:tr>
        <w:trPr>
          <w:trHeight w:val="1485" w:hRule="atLeast"/>
        </w:trPr>
        <w:tc>
          <w:tcPr>
            <w:tcW w:w="95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en-US"/>
              </w:rPr>
              <w:t>Об утверждении Положения о порядке увековечивания памяти погибших (умерших) в ходе специальной военной операции на территориях Украины, Донецкой Народной Республике и Луганской Народной Республики с 24 февраля 2022 года, на территориях Запорожской и Херсонской областей с 30 сентября 2022 года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  <w:lang w:val="ru-RU"/>
        </w:rPr>
        <w:t>целях увековечивания памяти погибших 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года, в соответствии с Законом Российской Федерации от 14 января 1993 года № 4292-1 «Об увековечивании памяти погибших при Защите Отечества», руководствуясь Уставом администрации «Сельское поселение Батаевский сельсовет Ахтубинского муниципального района Астраханской области».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pacing w:val="-4"/>
          <w:sz w:val="28"/>
          <w:szCs w:val="28"/>
        </w:rPr>
        <w:t>РЕШИЛ: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Утвердить </w:t>
      </w:r>
      <w:r>
        <w:rPr>
          <w:rFonts w:cs="Times New Roman" w:ascii="Times New Roman" w:hAnsi="Times New Roman"/>
          <w:sz w:val="28"/>
          <w:szCs w:val="28"/>
          <w:lang w:val="ru-RU" w:eastAsia="en-US"/>
        </w:rPr>
        <w:t>Положение о порядке увековечивания памяти погибших (умерших) в ходе специальной военной операции на территориях Украины, Донецкой Народной Республике и Луганской Народной Республики с 24 февраля 2022 года, на территориях Запорожской и Херсонской областей с 30 сентября 2022 года согласно приложению.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и размещению на официальном сайте администрации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0" w:right="0" w:firstLine="284"/>
        <w:contextualSpacing/>
        <w:jc w:val="both"/>
        <w:rPr/>
      </w:pPr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Председатель Совета муницип</w:t>
      </w:r>
      <w:r>
        <w:rPr>
          <w:rFonts w:cs="Times New Roman" w:ascii="Times New Roman" w:hAnsi="Times New Roman"/>
          <w:sz w:val="28"/>
          <w:szCs w:val="28"/>
        </w:rPr>
        <w:t xml:space="preserve">ального образования </w:t>
      </w:r>
    </w:p>
    <w:p>
      <w:pPr>
        <w:pStyle w:val="Normal"/>
        <w:spacing w:before="0" w:after="0"/>
        <w:ind w:left="0" w:right="0" w:firstLine="284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«Сельское поселение Батаевский сельсовет </w:t>
      </w:r>
    </w:p>
    <w:p>
      <w:pPr>
        <w:pStyle w:val="Normal"/>
        <w:spacing w:before="0" w:after="0"/>
        <w:ind w:left="0" w:right="0" w:firstLine="284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Ахтубинского муниципального района </w:t>
      </w:r>
    </w:p>
    <w:p>
      <w:pPr>
        <w:pStyle w:val="Normal"/>
        <w:spacing w:before="0" w:after="0"/>
        <w:ind w:left="0" w:right="0" w:firstLine="284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Астраханской области»                                                               Л.И.Шерстюк</w:t>
      </w:r>
    </w:p>
    <w:p>
      <w:pPr>
        <w:pStyle w:val="Normal"/>
        <w:spacing w:before="0" w:after="0"/>
        <w:ind w:left="0" w:righ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0" w:right="0" w:firstLine="284"/>
        <w:contextualSpacing/>
        <w:jc w:val="both"/>
        <w:rPr/>
      </w:pPr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Глава муницип</w:t>
      </w:r>
      <w:r>
        <w:rPr>
          <w:rFonts w:cs="Times New Roman" w:ascii="Times New Roman" w:hAnsi="Times New Roman"/>
          <w:sz w:val="28"/>
          <w:szCs w:val="28"/>
        </w:rPr>
        <w:t xml:space="preserve">ального образования </w:t>
      </w:r>
    </w:p>
    <w:p>
      <w:pPr>
        <w:pStyle w:val="Normal"/>
        <w:spacing w:before="0" w:after="0"/>
        <w:ind w:left="0" w:right="0" w:firstLine="284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«Сельское поселение Батаевский сельсовет </w:t>
      </w:r>
    </w:p>
    <w:p>
      <w:pPr>
        <w:pStyle w:val="Normal"/>
        <w:spacing w:before="0" w:after="0"/>
        <w:ind w:left="0" w:right="0" w:firstLine="284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Ахтубинского муниципального района </w:t>
      </w:r>
    </w:p>
    <w:p>
      <w:pPr>
        <w:pStyle w:val="Normal"/>
        <w:suppressAutoHyphens w:val="false"/>
        <w:spacing w:lineRule="auto" w:line="240" w:before="0" w:after="0"/>
        <w:ind w:left="0" w:righ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14174_3207631918"/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lang w:eastAsia="hi-IN" w:bidi="hi-IN"/>
        </w:rPr>
        <w:t>Астраханской области»                                                                    А.К.Муса</w:t>
      </w:r>
      <w:bookmarkEnd w:id="0"/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lang w:eastAsia="hi-IN" w:bidi="hi-IN"/>
        </w:rPr>
        <w:t>ев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before="0" w:after="0"/>
        <w:jc w:val="right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before="0" w:after="0"/>
        <w:jc w:val="right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к Решению Совета депутатов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before="0" w:after="0"/>
        <w:jc w:val="right"/>
        <w:textAlignment w:val="auto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Администрации МО «Сельское поселение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before="0" w:after="0"/>
        <w:jc w:val="right"/>
        <w:textAlignment w:val="auto"/>
        <w:rPr/>
      </w:pPr>
      <w:r>
        <w:rPr>
          <w:rFonts w:cs="Times New Roman" w:ascii="Times New Roman" w:hAnsi="Times New Roman"/>
          <w:lang w:val="ru-RU"/>
        </w:rPr>
        <w:t xml:space="preserve">Батаевский сельсовет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before="0" w:after="0"/>
        <w:jc w:val="right"/>
        <w:textAlignment w:val="auto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Ахтубинского муниципального района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before="0" w:after="0"/>
        <w:jc w:val="right"/>
        <w:textAlignment w:val="auto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Астраханской области»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</w:rPr>
        <w:t xml:space="preserve">от </w:t>
      </w:r>
      <w:r>
        <w:rPr>
          <w:rFonts w:cs="Times New Roman" w:ascii="Times New Roman" w:hAnsi="Times New Roman"/>
        </w:rPr>
        <w:t>01.04.</w:t>
      </w:r>
      <w:r>
        <w:rPr>
          <w:rFonts w:cs="Times New Roman" w:ascii="Times New Roman" w:hAnsi="Times New Roman"/>
        </w:rPr>
        <w:t>202</w:t>
      </w:r>
      <w:r>
        <w:rPr>
          <w:rFonts w:cs="Times New Roman" w:ascii="Times New Roman" w:hAnsi="Times New Roman"/>
          <w:lang w:val="ru-RU"/>
        </w:rPr>
        <w:t>6</w:t>
      </w:r>
      <w:r>
        <w:rPr>
          <w:rFonts w:cs="Times New Roman" w:ascii="Times New Roman" w:hAnsi="Times New Roman"/>
        </w:rPr>
        <w:t xml:space="preserve"> г №</w:t>
      </w:r>
      <w:r>
        <w:rPr>
          <w:rFonts w:cs="Times New Roman" w:ascii="Times New Roman" w:hAnsi="Times New Roman"/>
        </w:rPr>
        <w:t xml:space="preserve">39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b/>
          <w:bCs/>
          <w:sz w:val="25"/>
          <w:szCs w:val="25"/>
        </w:rPr>
        <w:t>ПОЛОЖЕНИЕ О ПОРЯДКЕ УВЕКОВЕЧИВАНИЯ ПАМЯТИ ПОГИБШИХ 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</w:t>
      </w:r>
    </w:p>
    <w:p>
      <w:pPr>
        <w:pStyle w:val="Normal"/>
        <w:ind w:firstLine="708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 xml:space="preserve">Глава 1. Общие положения </w:t>
      </w:r>
    </w:p>
    <w:p>
      <w:pPr>
        <w:pStyle w:val="Normal"/>
        <w:numPr>
          <w:ilvl w:val="1"/>
          <w:numId w:val="1"/>
        </w:num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Настоящее Положение о порядке увековечивания памяти погибших 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– Положение) разработано в соответствии с Законом Российской Федерации от 14 января 1993 года № 4292-1 «Об увековечении памяти погибших при Защите Отечества»,  и устанавливают единые подходы, общие требования к визуальному стилю и содержанию информации на памятных знаках при организации работы по увековечению памяти погибших (умерших) при выполнении воинского долга в ходе специальной военной операции на территориях Украины, Донецкой Народной Республики и Луганской Народной Республики с 24 февраля 2022. года, на территориях Запорожской и Херсонской областей с 30 сентября 2022 года (далее - специальная военная операция).</w:t>
      </w:r>
    </w:p>
    <w:p>
      <w:pPr>
        <w:pStyle w:val="Normal"/>
        <w:numPr>
          <w:ilvl w:val="0"/>
          <w:numId w:val="0"/>
        </w:numPr>
        <w:ind w:firstLine="708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 xml:space="preserve"> </w:t>
      </w:r>
      <w:r>
        <w:rPr>
          <w:rFonts w:cs="Times New Roman" w:ascii="Times New Roman" w:hAnsi="Times New Roman"/>
          <w:b/>
          <w:bCs/>
          <w:sz w:val="25"/>
          <w:szCs w:val="25"/>
        </w:rPr>
        <w:t xml:space="preserve">Глава 2. Формы увековечения памяти погибших (умерших) в ходе специальной военной операции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2.1. Основными формами увековечения памяти погибших (умерших) в ходе специальной военной операции являются: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 xml:space="preserve">1) создание и ведение Книг Памяти в </w:t>
      </w:r>
      <w:r>
        <w:rPr>
          <w:rFonts w:cs="Times New Roman" w:ascii="Times New Roman" w:hAnsi="Times New Roman"/>
          <w:sz w:val="25"/>
          <w:szCs w:val="25"/>
          <w:lang w:val="ru-RU"/>
        </w:rPr>
        <w:t xml:space="preserve">Сельском поселении Батаевский сельсовет Ахтубинского муниципального района Астраханской </w:t>
      </w:r>
      <w:r>
        <w:rPr>
          <w:rFonts w:cs="Times New Roman" w:ascii="Times New Roman" w:hAnsi="Times New Roman"/>
          <w:sz w:val="25"/>
          <w:szCs w:val="25"/>
        </w:rPr>
        <w:t>области;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>2) присвоение им</w:t>
      </w:r>
      <w:r>
        <w:rPr>
          <w:rFonts w:cs="Times New Roman" w:ascii="Times New Roman" w:hAnsi="Times New Roman"/>
          <w:sz w:val="25"/>
          <w:szCs w:val="25"/>
          <w:lang w:val="ru-RU"/>
        </w:rPr>
        <w:t>ё</w:t>
      </w:r>
      <w:r>
        <w:rPr>
          <w:rFonts w:cs="Times New Roman" w:ascii="Times New Roman" w:hAnsi="Times New Roman"/>
          <w:sz w:val="25"/>
          <w:szCs w:val="25"/>
        </w:rPr>
        <w:t xml:space="preserve">н погибших (умерших) в ходе специальной военной операции улицам и площадям, географическим объектам, организациям, учреждениям, установка памятных знаков на фасадах и (или) внутри зданий, а также размещение баннеров на рекламных щитах (билбордах);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3) создание уголков воинской доблести, музеев славы, выставок о героическом подвиге погибших (умерших) в ходе специальной военной операции;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4) публикации в средствах массовой информации и в</w:t>
      </w:r>
      <w:r>
        <w:rPr>
          <w:rFonts w:cs="Times New Roman" w:ascii="Times New Roman" w:hAnsi="Times New Roman"/>
          <w:sz w:val="25"/>
          <w:szCs w:val="25"/>
          <w:lang w:val="ru-RU"/>
        </w:rPr>
        <w:t xml:space="preserve"> и</w:t>
      </w:r>
      <w:r>
        <w:rPr>
          <w:rFonts w:cs="Times New Roman" w:ascii="Times New Roman" w:hAnsi="Times New Roman"/>
          <w:sz w:val="25"/>
          <w:szCs w:val="25"/>
        </w:rPr>
        <w:t>нформационно</w:t>
      </w:r>
      <w:r>
        <w:rPr>
          <w:rFonts w:cs="Times New Roman" w:ascii="Times New Roman" w:hAnsi="Times New Roman"/>
          <w:sz w:val="25"/>
          <w:szCs w:val="25"/>
          <w:lang w:val="ru-RU"/>
        </w:rPr>
        <w:t>-</w:t>
      </w:r>
      <w:r>
        <w:rPr>
          <w:rFonts w:cs="Times New Roman" w:ascii="Times New Roman" w:hAnsi="Times New Roman"/>
          <w:sz w:val="25"/>
          <w:szCs w:val="25"/>
        </w:rPr>
        <w:t>телекоммуникационной сети «Интернет» материалов о погибших (умерших) в ходе специальной военной операции, создание произведений искусства и литературы, посвященных их подвигам;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 xml:space="preserve">5) проведение военно-патриотических уроков, спортивных мероприятий, форумов, посвященных памяти погибших (умерших) в ходе специальной военной операции; </w:t>
      </w:r>
    </w:p>
    <w:p>
      <w:pPr>
        <w:pStyle w:val="Normal"/>
        <w:numPr>
          <w:ilvl w:val="0"/>
          <w:numId w:val="0"/>
        </w:num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6) популяризация в молодежной среде идей гражданственности, патриотизма, преемственности традиций, уважения к памяти погибших (умерших) в ходе специальной военной операции;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  <w:lang w:val="ru-RU"/>
        </w:rPr>
        <w:t>7) установка  «Парт Героя»;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cs="Times New Roman" w:ascii="Times New Roman" w:hAnsi="Times New Roman"/>
          <w:sz w:val="25"/>
          <w:szCs w:val="25"/>
          <w:lang w:val="ru-RU"/>
        </w:rPr>
        <w:t>8) порядок финансирования работ по увековечиванию памяти погибших (умерших) участников специальной военной операции;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361"/>
        <w:ind w:firstLine="709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>9) реализация общественно значимых инициатив по увековечению памяти погибших (умерших) в ходе специальной военной операции.</w:t>
      </w:r>
    </w:p>
    <w:p>
      <w:pPr>
        <w:pStyle w:val="Normal"/>
        <w:numPr>
          <w:ilvl w:val="0"/>
          <w:numId w:val="0"/>
        </w:numPr>
        <w:ind w:firstLine="708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 xml:space="preserve"> </w:t>
      </w:r>
      <w:r>
        <w:rPr>
          <w:rFonts w:cs="Times New Roman" w:ascii="Times New Roman" w:hAnsi="Times New Roman"/>
          <w:b/>
          <w:bCs/>
          <w:sz w:val="25"/>
          <w:szCs w:val="25"/>
        </w:rPr>
        <w:t xml:space="preserve">Глава 3. Критерии для принятия решения об установке мемориальной доски, другого памятного знака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3.1. Критерием для принятия решения об установке мемориальной доски, других памятных знаков является наличие достоверных сведений, подтвержд</w:t>
      </w:r>
      <w:r>
        <w:rPr>
          <w:rFonts w:cs="Times New Roman" w:ascii="Times New Roman" w:hAnsi="Times New Roman"/>
          <w:sz w:val="25"/>
          <w:szCs w:val="25"/>
          <w:lang w:val="ru-RU"/>
        </w:rPr>
        <w:t>ё</w:t>
      </w:r>
      <w:r>
        <w:rPr>
          <w:rFonts w:cs="Times New Roman" w:ascii="Times New Roman" w:hAnsi="Times New Roman"/>
          <w:sz w:val="25"/>
          <w:szCs w:val="25"/>
        </w:rPr>
        <w:t xml:space="preserve">нных документально, о проявлении особого героизма, мужества, смелости, отваги увековечиваемого лица.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3.2. Рассмотрение вопроса об установке мемориальной доски, другого памятного знака производится по истечении не менее 6 месяцев и не позднее 5 лет со дня окончания специальной военной операции.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>3.3. На лиц, удостоенных звания Героя Российской Федерации, награжд</w:t>
      </w:r>
      <w:r>
        <w:rPr>
          <w:rFonts w:cs="Times New Roman" w:ascii="Times New Roman" w:hAnsi="Times New Roman"/>
          <w:sz w:val="25"/>
          <w:szCs w:val="25"/>
          <w:lang w:val="ru-RU"/>
        </w:rPr>
        <w:t>ё</w:t>
      </w:r>
      <w:r>
        <w:rPr>
          <w:rFonts w:cs="Times New Roman" w:ascii="Times New Roman" w:hAnsi="Times New Roman"/>
          <w:sz w:val="25"/>
          <w:szCs w:val="25"/>
        </w:rPr>
        <w:t>нных орденом Мужества, погибшим или умершим при исполнении воинского долга ограничения по срокам обращения об установке мемориальной доски, другого памятного знака не распространяются.</w:t>
      </w:r>
    </w:p>
    <w:p>
      <w:pPr>
        <w:pStyle w:val="Normal"/>
        <w:numPr>
          <w:ilvl w:val="0"/>
          <w:numId w:val="0"/>
        </w:numPr>
        <w:ind w:firstLine="708"/>
        <w:jc w:val="both"/>
        <w:rPr/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 xml:space="preserve">3.4. Мемориальная доска, другой памятный знак устанавливается </w:t>
      </w:r>
      <w:r>
        <w:rPr>
          <w:rFonts w:cs="Times New Roman" w:ascii="Times New Roman" w:hAnsi="Times New Roman"/>
          <w:sz w:val="25"/>
          <w:szCs w:val="25"/>
          <w:lang w:val="ru-RU"/>
        </w:rPr>
        <w:t>в</w:t>
      </w:r>
      <w:r>
        <w:rPr>
          <w:rFonts w:cs="Times New Roman" w:ascii="Times New Roman" w:hAnsi="Times New Roman"/>
          <w:sz w:val="25"/>
          <w:szCs w:val="25"/>
        </w:rPr>
        <w:t xml:space="preserve"> здании школы, расположенной на территории </w:t>
      </w:r>
      <w:r>
        <w:rPr>
          <w:rFonts w:cs="Times New Roman" w:ascii="Times New Roman" w:hAnsi="Times New Roman"/>
          <w:sz w:val="25"/>
          <w:szCs w:val="25"/>
          <w:lang w:val="ru-RU"/>
        </w:rPr>
        <w:t>«С</w:t>
      </w:r>
      <w:r>
        <w:rPr>
          <w:rFonts w:cs="Times New Roman" w:ascii="Times New Roman" w:hAnsi="Times New Roman"/>
          <w:sz w:val="25"/>
          <w:szCs w:val="25"/>
        </w:rPr>
        <w:t>ельско</w:t>
      </w:r>
      <w:r>
        <w:rPr>
          <w:rFonts w:cs="Times New Roman" w:ascii="Times New Roman" w:hAnsi="Times New Roman"/>
          <w:sz w:val="25"/>
          <w:szCs w:val="25"/>
          <w:lang w:val="ru-RU"/>
        </w:rPr>
        <w:t>е</w:t>
      </w:r>
      <w:r>
        <w:rPr>
          <w:rFonts w:cs="Times New Roman" w:ascii="Times New Roman" w:hAnsi="Times New Roman"/>
          <w:sz w:val="25"/>
          <w:szCs w:val="25"/>
        </w:rPr>
        <w:t xml:space="preserve"> поселени</w:t>
      </w:r>
      <w:r>
        <w:rPr>
          <w:rFonts w:cs="Times New Roman" w:ascii="Times New Roman" w:hAnsi="Times New Roman"/>
          <w:sz w:val="25"/>
          <w:szCs w:val="25"/>
          <w:lang w:val="ru-RU"/>
        </w:rPr>
        <w:t xml:space="preserve">е Батаевский сельсовет </w:t>
      </w: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  <w:lang w:val="ru-RU"/>
        </w:rPr>
        <w:t>Ахтубинского муниципального района Астраханской области» и на территории поселения.</w:t>
      </w:r>
    </w:p>
    <w:p>
      <w:pPr>
        <w:pStyle w:val="Normal"/>
        <w:numPr>
          <w:ilvl w:val="0"/>
          <w:numId w:val="0"/>
        </w:numPr>
        <w:ind w:firstLine="708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Глава 4. Порядок направления ходатайств об установке мемориальной доски, другого памятного знака.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 xml:space="preserve">4.1. С инициативой об установке мемориальной доски, другого памятного знака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 различных форм собственности, физические лица (далее - инициатор).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 xml:space="preserve">4.2. Письменное ходатайство об установке мемориальной доски, другого памятного знака, содержащее просьбу об увековечении памяти погибшего (умершего) при выполнении воинского долга в ходе специальной военной операции лица (далее - ходатайство), и документы, указанные в пункте 4.3 настоящего Положения, направляются на имя главы </w:t>
      </w:r>
      <w:r>
        <w:rPr>
          <w:rFonts w:cs="Times New Roman" w:ascii="Times New Roman" w:hAnsi="Times New Roman"/>
          <w:sz w:val="25"/>
          <w:szCs w:val="25"/>
          <w:lang w:val="ru-RU"/>
        </w:rPr>
        <w:t>администрации «С</w:t>
      </w:r>
      <w:r>
        <w:rPr>
          <w:rFonts w:cs="Times New Roman" w:ascii="Times New Roman" w:hAnsi="Times New Roman"/>
          <w:sz w:val="25"/>
          <w:szCs w:val="25"/>
        </w:rPr>
        <w:t>ельско</w:t>
      </w:r>
      <w:r>
        <w:rPr>
          <w:rFonts w:cs="Times New Roman" w:ascii="Times New Roman" w:hAnsi="Times New Roman"/>
          <w:sz w:val="25"/>
          <w:szCs w:val="25"/>
          <w:lang w:val="ru-RU"/>
        </w:rPr>
        <w:t>е</w:t>
      </w:r>
      <w:r>
        <w:rPr>
          <w:rFonts w:cs="Times New Roman" w:ascii="Times New Roman" w:hAnsi="Times New Roman"/>
          <w:sz w:val="25"/>
          <w:szCs w:val="25"/>
        </w:rPr>
        <w:t xml:space="preserve"> поселени</w:t>
      </w:r>
      <w:r>
        <w:rPr>
          <w:rFonts w:cs="Times New Roman" w:ascii="Times New Roman" w:hAnsi="Times New Roman"/>
          <w:sz w:val="25"/>
          <w:szCs w:val="25"/>
          <w:lang w:val="ru-RU"/>
        </w:rPr>
        <w:t xml:space="preserve">е Батаевский сельсовет </w:t>
      </w: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  <w:lang w:val="ru-RU"/>
        </w:rPr>
        <w:t xml:space="preserve">Ахтубинского муниципального района Астраханской области» </w:t>
      </w:r>
      <w:r>
        <w:rPr>
          <w:rFonts w:cs="Times New Roman" w:ascii="Times New Roman" w:hAnsi="Times New Roman"/>
          <w:sz w:val="25"/>
          <w:szCs w:val="25"/>
        </w:rPr>
        <w:t xml:space="preserve">(далее – Администрация).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>4.3. В перечень документов, представляемых на имя главы Администрации</w:t>
      </w:r>
      <w:r>
        <w:rPr>
          <w:rFonts w:cs="Times New Roman" w:ascii="Times New Roman" w:hAnsi="Times New Roman"/>
          <w:sz w:val="25"/>
          <w:szCs w:val="25"/>
          <w:lang w:val="ru-RU"/>
        </w:rPr>
        <w:t xml:space="preserve"> «С</w:t>
      </w:r>
      <w:r>
        <w:rPr>
          <w:rFonts w:cs="Times New Roman" w:ascii="Times New Roman" w:hAnsi="Times New Roman"/>
          <w:sz w:val="25"/>
          <w:szCs w:val="25"/>
        </w:rPr>
        <w:t>ельско</w:t>
      </w:r>
      <w:r>
        <w:rPr>
          <w:rFonts w:cs="Times New Roman" w:ascii="Times New Roman" w:hAnsi="Times New Roman"/>
          <w:sz w:val="25"/>
          <w:szCs w:val="25"/>
          <w:lang w:val="ru-RU"/>
        </w:rPr>
        <w:t>е</w:t>
      </w:r>
      <w:r>
        <w:rPr>
          <w:rFonts w:cs="Times New Roman" w:ascii="Times New Roman" w:hAnsi="Times New Roman"/>
          <w:sz w:val="25"/>
          <w:szCs w:val="25"/>
        </w:rPr>
        <w:t xml:space="preserve"> поселени</w:t>
      </w:r>
      <w:r>
        <w:rPr>
          <w:rFonts w:cs="Times New Roman" w:ascii="Times New Roman" w:hAnsi="Times New Roman"/>
          <w:sz w:val="25"/>
          <w:szCs w:val="25"/>
          <w:lang w:val="ru-RU"/>
        </w:rPr>
        <w:t xml:space="preserve">е Батаевский сельсовет </w:t>
      </w: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  <w:lang w:val="ru-RU"/>
        </w:rPr>
        <w:t>Ахтубинского муниципального района Астраханской области»</w:t>
      </w:r>
      <w:r>
        <w:rPr>
          <w:rFonts w:cs="Times New Roman" w:ascii="Times New Roman" w:hAnsi="Times New Roman"/>
          <w:sz w:val="25"/>
          <w:szCs w:val="25"/>
        </w:rPr>
        <w:t>, входят: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 xml:space="preserve">1) копии документов, подтверждающих достоверность события или заслуги увековечиваемого лица;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2) сведения о предполагаемом месте установки мемориальной доски, другого памятного знака с обоснованием его выбора;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3) предложение по тексту надписи;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>4) 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 (в случае если изготовление и установка мемориальной доски, другого памятного знака производятся за сч</w:t>
      </w:r>
      <w:r>
        <w:rPr>
          <w:rFonts w:cs="Times New Roman" w:ascii="Times New Roman" w:hAnsi="Times New Roman"/>
          <w:sz w:val="25"/>
          <w:szCs w:val="25"/>
          <w:lang w:val="ru-RU"/>
        </w:rPr>
        <w:t>ё</w:t>
      </w:r>
      <w:r>
        <w:rPr>
          <w:rFonts w:cs="Times New Roman" w:ascii="Times New Roman" w:hAnsi="Times New Roman"/>
          <w:sz w:val="25"/>
          <w:szCs w:val="25"/>
        </w:rPr>
        <w:t xml:space="preserve">т инициатора).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>4.4. Место установки мемориальной доски, другого памятного знака должно быть согласовано с Администрацией и собственником здания. Администрация может отказать в согласовании места установки мемориальной доски, другого памятного знака в случае запланированного сноса или капитального ремонта здания, на котором инициатором предполагается установить мемориальную доску</w:t>
      </w:r>
      <w:r>
        <w:rPr>
          <w:rFonts w:cs="Times New Roman" w:ascii="Times New Roman" w:hAnsi="Times New Roman"/>
          <w:sz w:val="25"/>
          <w:szCs w:val="25"/>
          <w:lang w:val="ru-RU"/>
        </w:rPr>
        <w:t xml:space="preserve"> или другой памятный знак</w:t>
      </w:r>
      <w:r>
        <w:rPr>
          <w:rFonts w:cs="Times New Roman" w:ascii="Times New Roman" w:hAnsi="Times New Roman"/>
          <w:sz w:val="25"/>
          <w:szCs w:val="25"/>
        </w:rPr>
        <w:t>. В случае отказа в согласовании места установки мемориальной доски, другого памятного знака Администрация направляет свое мотивированное заключение в Комиссию для предварительного рассмотрения вопросов, связанных с увековечением памяти о выдающихся событиях и личностях (далее - Комиссия).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left"/>
        <w:textAlignment w:val="auto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 xml:space="preserve"> </w:t>
      </w:r>
      <w:r>
        <w:rPr>
          <w:rFonts w:cs="Times New Roman" w:ascii="Times New Roman" w:hAnsi="Times New Roman"/>
          <w:b/>
          <w:bCs/>
          <w:sz w:val="25"/>
          <w:szCs w:val="25"/>
        </w:rPr>
        <w:t xml:space="preserve">Глава 5. Порядок рассмотрения ходатайств и принятия решений по ним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5.1. Поступившее на имя главы Администрации ходатайство и документы в течение 2 рабочих дней передаются на рассмотрение Комиссии.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5.3. Комиссия вправе провести опрос общественного мнения по рассматриваемым ходатайствам.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5.4. По результатам рассмотрения ходатайства и документов, указанных в пункте 4.3 настоящего Положения, Комиссия принимает одно из следующих решений: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 xml:space="preserve">1) поддержать ходатайство;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2) рекомендовать ходатайствующей стороне увековечить память погибшего в других формах;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>3) отклонить ходатайство и направить инициаторам мотивированный отказ.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5.5. Решения, принятые Комиссией, оформляются протоколом.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both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5.6. При принятии решения, предусмотренного подпунктом 1 пункта 5.4 настоящего Положения, Комиссия готовит проект решения об установке мемориальной доски, другого памятного знака и направляет его главе Администрации для согласования.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 xml:space="preserve">5.7. В случае согласования проекта решения об установке мемориальной доски, другого памятного знака глава Администрации вносит проект решения об установке мемориальной доски, другого памятного знака на рассмотрение Совета депутатов </w:t>
      </w:r>
      <w:r>
        <w:rPr>
          <w:rFonts w:cs="Times New Roman" w:ascii="Times New Roman" w:hAnsi="Times New Roman"/>
          <w:sz w:val="25"/>
          <w:szCs w:val="25"/>
          <w:lang w:val="ru-RU"/>
        </w:rPr>
        <w:t>«С</w:t>
      </w:r>
      <w:r>
        <w:rPr>
          <w:rFonts w:cs="Times New Roman" w:ascii="Times New Roman" w:hAnsi="Times New Roman"/>
          <w:sz w:val="25"/>
          <w:szCs w:val="25"/>
        </w:rPr>
        <w:t>ельско</w:t>
      </w:r>
      <w:r>
        <w:rPr>
          <w:rFonts w:cs="Times New Roman" w:ascii="Times New Roman" w:hAnsi="Times New Roman"/>
          <w:sz w:val="25"/>
          <w:szCs w:val="25"/>
          <w:lang w:val="ru-RU"/>
        </w:rPr>
        <w:t>е</w:t>
      </w:r>
      <w:r>
        <w:rPr>
          <w:rFonts w:cs="Times New Roman" w:ascii="Times New Roman" w:hAnsi="Times New Roman"/>
          <w:sz w:val="25"/>
          <w:szCs w:val="25"/>
        </w:rPr>
        <w:t xml:space="preserve"> поселени</w:t>
      </w:r>
      <w:r>
        <w:rPr>
          <w:rFonts w:cs="Times New Roman" w:ascii="Times New Roman" w:hAnsi="Times New Roman"/>
          <w:sz w:val="25"/>
          <w:szCs w:val="25"/>
          <w:lang w:val="ru-RU"/>
        </w:rPr>
        <w:t xml:space="preserve">е Батаевский сельсовет </w:t>
      </w: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  <w:lang w:val="ru-RU"/>
        </w:rPr>
        <w:t>Ахтубинского муниципального района Астраханской области»</w:t>
      </w:r>
      <w:r>
        <w:rPr>
          <w:rFonts w:cs="Times New Roman" w:ascii="Times New Roman" w:hAnsi="Times New Roman"/>
          <w:sz w:val="25"/>
          <w:szCs w:val="25"/>
        </w:rPr>
        <w:t>(далее – Совет депутатов).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9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 xml:space="preserve">5.8. Решение об установке мемориальной доски, другого памятного знака принимается на заседании Совета депутатов. В решении об установке мемориальной доски, другого памятного знака указываются: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left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1) адрес места установки мемориальной доски, другого памятного знака;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left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2) содержание надписи;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left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3) срок установки мемориальной доски, другого памятного знака;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left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4) источник финансового обеспечения работ по проектированию, изготовлению и установке мемориальной доски, другого памятного знака;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left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5) ответственное лицо.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 xml:space="preserve">5.9. Решение об установке мемориальной доски, другого памятного знака, принятое Советом депутатов, направляется инициатору и подлежит обнародованию и опубликованию на официальном сайте Администрации в информационно-телекоммуникационной сети «Интернет». </w:t>
      </w:r>
      <w:r>
        <w:rPr>
          <w:rFonts w:cs="Times New Roman" w:ascii="Times New Roman" w:hAnsi="Times New Roman"/>
          <w:sz w:val="25"/>
          <w:szCs w:val="25"/>
          <w:lang w:val="ru-RU"/>
        </w:rPr>
        <w:tab/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>5.10. Мемориальная доска, другой памятный знак устанавливаются за счет бюджетных средств</w:t>
      </w:r>
      <w:r>
        <w:rPr>
          <w:rFonts w:cs="Times New Roman" w:ascii="Times New Roman" w:hAnsi="Times New Roman"/>
          <w:sz w:val="25"/>
          <w:szCs w:val="25"/>
          <w:lang w:val="ru-RU"/>
        </w:rPr>
        <w:t xml:space="preserve"> администрации</w:t>
      </w: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  <w:lang w:val="ru-RU"/>
        </w:rPr>
        <w:t>«С</w:t>
      </w:r>
      <w:r>
        <w:rPr>
          <w:rFonts w:cs="Times New Roman" w:ascii="Times New Roman" w:hAnsi="Times New Roman"/>
          <w:sz w:val="25"/>
          <w:szCs w:val="25"/>
        </w:rPr>
        <w:t>ельско</w:t>
      </w:r>
      <w:r>
        <w:rPr>
          <w:rFonts w:cs="Times New Roman" w:ascii="Times New Roman" w:hAnsi="Times New Roman"/>
          <w:sz w:val="25"/>
          <w:szCs w:val="25"/>
          <w:lang w:val="ru-RU"/>
        </w:rPr>
        <w:t>е</w:t>
      </w:r>
      <w:r>
        <w:rPr>
          <w:rFonts w:cs="Times New Roman" w:ascii="Times New Roman" w:hAnsi="Times New Roman"/>
          <w:sz w:val="25"/>
          <w:szCs w:val="25"/>
        </w:rPr>
        <w:t xml:space="preserve"> поселени</w:t>
      </w:r>
      <w:r>
        <w:rPr>
          <w:rFonts w:cs="Times New Roman" w:ascii="Times New Roman" w:hAnsi="Times New Roman"/>
          <w:sz w:val="25"/>
          <w:szCs w:val="25"/>
          <w:lang w:val="ru-RU"/>
        </w:rPr>
        <w:t xml:space="preserve">е Батаевский сельсовет </w:t>
      </w: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  <w:lang w:val="ru-RU"/>
        </w:rPr>
        <w:t>Ахтубинского муниципального района Астраханской области»</w:t>
      </w:r>
      <w:r>
        <w:rPr>
          <w:rFonts w:cs="Times New Roman" w:ascii="Times New Roman" w:hAnsi="Times New Roman"/>
          <w:sz w:val="25"/>
          <w:szCs w:val="25"/>
        </w:rPr>
        <w:t>. Допускается также установка мемориальной доски, другого памятного знака за счет внебюджетных средств.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 xml:space="preserve">5.11. В случае, если изготовление и установка мемориальной доски, другого памятного знака производятся за счет инициатора и в установленные сроки работы не выполнены, глава поселения вносит предложение в Совет депутатов об отмене принятого решения об установке мемориальной доски, другого памятного знака.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left"/>
        <w:textAlignment w:val="auto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  <w:t>Глава 6. Архитектурно-художественные требования, предъявляемые к мемориальной доске, другому памятному знаку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 xml:space="preserve">6.1. Архитектурно-художественное решение мемориальной доски, другого памятного знака не должно противоречить характеру места его установки, особенностям среды, в которую он привносится как новый элемент.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left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6.2. При согласовании проекта и места установки мемориальной доски, другого памятного знака учитываются следующие требования: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 xml:space="preserve">1) текст мемориальной доски, другого памятного знака должен быть оформлен в лаконичной форме и содержать полностью фамилию, имя, отчество увековечиваемого лица на русском языке;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left"/>
        <w:textAlignment w:val="auto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2) в тексте мемориальной доски, другого памятного знака обязательны сведения о заслугах увековечиваемого лица;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both"/>
        <w:textAlignment w:val="auto"/>
        <w:rPr/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>3) в композицию мемориальной доски</w:t>
      </w:r>
      <w:r>
        <w:rPr>
          <w:rFonts w:cs="Times New Roman" w:ascii="Times New Roman" w:hAnsi="Times New Roman"/>
          <w:sz w:val="25"/>
          <w:szCs w:val="25"/>
          <w:lang w:val="ru-RU"/>
        </w:rPr>
        <w:t>,</w:t>
      </w:r>
      <w:r>
        <w:rPr>
          <w:rFonts w:cs="Times New Roman" w:ascii="Times New Roman" w:hAnsi="Times New Roman"/>
          <w:sz w:val="25"/>
          <w:szCs w:val="25"/>
        </w:rPr>
        <w:t xml:space="preserve"> другого памятного знака кроме текста могут включаться портретные изображения, декоративные элементы, подсветка;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0"/>
        </w:numPr>
        <w:overflowPunct w:val="false"/>
        <w:bidi w:val="0"/>
        <w:snapToGrid w:val="true"/>
        <w:spacing w:before="0" w:after="0"/>
        <w:ind w:firstLine="708"/>
        <w:jc w:val="left"/>
        <w:textAlignment w:val="auto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12"/>
        </w:tabs>
        <w:ind w:left="720" w:hanging="0"/>
      </w:pPr>
    </w:lvl>
    <w:lvl w:ilvl="1">
      <w:start w:val="1"/>
      <w:numFmt w:val="decimal"/>
      <w:suff w:val="space"/>
      <w:lvlText w:val="%1.%2."/>
      <w:lvlJc w:val="left"/>
      <w:pPr>
        <w:ind w:left="0" w:hanging="0"/>
      </w:pPr>
    </w:lvl>
    <w:lvl w:ilvl="2">
      <w:start w:val="1"/>
      <w:numFmt w:val="decimal"/>
      <w:suff w:val="space"/>
      <w:lvlText w:val="%1.%2.%3."/>
      <w:lvlJc w:val="left"/>
      <w:pPr>
        <w:ind w:left="0" w:hanging="0"/>
      </w:pPr>
    </w:lvl>
    <w:lvl w:ilvl="3">
      <w:start w:val="1"/>
      <w:numFmt w:val="decimal"/>
      <w:suff w:val="space"/>
      <w:lvlText w:val="%1.%2.%3.%4."/>
      <w:lvlJc w:val="left"/>
      <w:pPr>
        <w:ind w:left="0" w:hanging="0"/>
      </w:pPr>
    </w:lvl>
    <w:lvl w:ilvl="4">
      <w:start w:val="1"/>
      <w:numFmt w:val="decimal"/>
      <w:suff w:val="space"/>
      <w:lvlText w:val="%1.%2.%3.%4.%5."/>
      <w:lvlJc w:val="left"/>
      <w:pPr>
        <w:ind w:left="0" w:hanging="0"/>
      </w:pPr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</w:lvl>
    <w:lvl w:ilvl="7">
      <w:start w:val="1"/>
      <w:numFmt w:val="decimal"/>
      <w:suff w:val="space"/>
      <w:lvlText w:val="%1.%2.%3.%4.%5.%6.%7.%8."/>
      <w:lvlJc w:val="left"/>
      <w:pPr>
        <w:ind w:left="0" w:hanging="0"/>
      </w:pPr>
    </w:lvl>
    <w:lvl w:ilvl="8">
      <w:start w:val="1"/>
      <w:numFmt w:val="decimal"/>
      <w:suff w:val="space"/>
      <w:lvlText w:val="%1.%2.%3.%4.%5.%6.%7.%8.%9.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9"/>
    <w:uiPriority w:val="9"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yle14" w:customStyle="1">
    <w:name w:val="Основной текст Знак"/>
    <w:basedOn w:val="DefaultParagraphFont"/>
    <w:link w:val="6"/>
    <w:uiPriority w:val="0"/>
    <w:semiHidden/>
    <w:qFormat/>
    <w:rPr>
      <w:rFonts w:ascii="Calibri" w:hAnsi="Calibri" w:eastAsia="Lucida Sans Unicode" w:cs="font192"/>
      <w:kern w:val="2"/>
      <w:lang w:eastAsia="ar-SA"/>
    </w:rPr>
  </w:style>
  <w:style w:type="character" w:styleId="21" w:customStyle="1">
    <w:name w:val="Заголовок 2 Знак"/>
    <w:basedOn w:val="DefaultParagraphFont"/>
    <w:link w:val="2"/>
    <w:uiPriority w:val="9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Hfeheadingtext" w:customStyle="1">
    <w:name w:val="hfe-heading-text"/>
    <w:basedOn w:val="DefaultParagraphFont"/>
    <w:uiPriority w:val="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link w:val="8"/>
    <w:uiPriority w:val="0"/>
    <w:semiHidden/>
    <w:unhideWhenUsed/>
    <w:qFormat/>
    <w:pPr>
      <w:suppressAutoHyphens w:val="true"/>
      <w:spacing w:before="0" w:after="120"/>
    </w:pPr>
    <w:rPr>
      <w:rFonts w:ascii="Calibri" w:hAnsi="Calibri" w:eastAsia="Lucida Sans Unicode" w:cs="font192"/>
      <w:kern w:val="2"/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4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LibreOffice/6.0.4.2$Windows_x86 LibreOffice_project/9b0d9b32d5dcda91d2f1a96dc04c645c450872bf</Application>
  <Pages>5</Pages>
  <Words>1425</Words>
  <Characters>10273</Characters>
  <CharactersWithSpaces>12029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2024-06-07T05:42:00Z</dcterms:created>
  <dc:creator>ROTA</dc:creator>
  <dc:description/>
  <dc:language>ru-RU</dc:language>
  <cp:lastModifiedBy/>
  <cp:lastPrinted>2026-03-26T10:20:22Z</cp:lastPrinted>
  <dcterms:modified xsi:type="dcterms:W3CDTF">2026-04-01T10:50:35Z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BEB8F4E9D5D945CB82C8F210A40C2FD7_13</vt:lpwstr>
  </property>
  <property fmtid="{D5CDD505-2E9C-101B-9397-08002B2CF9AE}" pid="4" name="KSOProductBuildVer">
    <vt:lpwstr>1049-12.2.0.18586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